
<file path=[Content_Types].xml><?xml version="1.0" encoding="utf-8"?>
<Types xmlns="http://schemas.openxmlformats.org/package/2006/content-types">
  <Default Extension="xml" ContentType="application/xml"/>
  <Default Extension="xlsx" ContentType="application/vnd.openxmlformats-officedocument.spreadsheetml.sheet"/>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w:rPr>
          <w:sz w:val="21"/>
        </w:rPr>
        <mc:AlternateContent>
          <mc:Choice Requires="wpg">
            <w:drawing>
              <wp:anchor distT="0" distB="0" distL="114300" distR="114300" simplePos="0" relativeHeight="3221619712" behindDoc="1" locked="0" layoutInCell="1" allowOverlap="1">
                <wp:simplePos x="0" y="0"/>
                <wp:positionH relativeFrom="column">
                  <wp:posOffset>-23495</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1.85pt;margin-top:0pt;height:322.1pt;width:600.25pt;z-index:-1576664064;mso-width-relative:page;mso-height-relative:page;" coordorigin="13622,283" coordsize="12005,6442" o:gfxdata="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N2a9tH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二〇二〇年十月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二〇二〇年十月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sz w:val="21"/>
        </w:rPr>
        <mc:AlternateContent>
          <mc:Choice Requires="wpg">
            <w:drawing>
              <wp:anchor distT="0" distB="0" distL="114300" distR="114300" simplePos="0" relativeHeight="251665408" behindDoc="0" locked="0" layoutInCell="1" allowOverlap="1">
                <wp:simplePos x="0" y="0"/>
                <wp:positionH relativeFrom="column">
                  <wp:posOffset>-948690</wp:posOffset>
                </wp:positionH>
                <wp:positionV relativeFrom="paragraph">
                  <wp:posOffset>8454390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74.7pt;margin-top:665.7pt;height:21.45pt;width:595.25pt;z-index:251665408;mso-width-relative:page;mso-height-relative:page;" coordorigin="1483,16692" coordsize="11905,429" o:gfxdata="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ZUzX7dAAAADwEAAA8AAAAAAAAAAQAgAAAAIgAAAGRycy9kb3ducmV2LnhtbFBLAQIUABQAAAAI&#10;AIdO4kDMoU7HkwIAAOQGAAAOAAAAAAAAAAEAIAAAACwBAABkcnMvZTJvRG9jLnhtbFBLBQYAAAAA&#10;BgAGAFkBAAAx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both"/>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保定国家高新技术产业开发区管理委员会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招商服务局</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rtlGutter w:val="0"/>
          <w:docGrid w:type="lines" w:linePitch="312" w:charSpace="0"/>
        </w:sect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二〇二〇年十月</w:t>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focussize="0,0" r:id="rId25"/>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eastAsia="zh-CN"/>
        </w:rPr>
        <w:t>（一）</w:t>
      </w:r>
      <w:r>
        <w:rPr>
          <w:rFonts w:hint="eastAsia" w:ascii="仿宋_GB2312" w:hAnsi="仿宋_GB2312" w:eastAsia="仿宋_GB2312" w:cs="仿宋_GB2312"/>
          <w:b w:val="0"/>
          <w:bCs/>
          <w:sz w:val="32"/>
          <w:szCs w:val="32"/>
        </w:rPr>
        <w:t>商务管理工作</w:t>
      </w:r>
      <w:r>
        <w:rPr>
          <w:rFonts w:hint="eastAsia" w:ascii="仿宋_GB2312" w:hAnsi="仿宋_GB2312" w:eastAsia="仿宋_GB2312" w:cs="仿宋_GB2312"/>
          <w:b w:val="0"/>
          <w:bCs/>
          <w:sz w:val="32"/>
          <w:szCs w:val="32"/>
        </w:rPr>
        <w:tab/>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电子商务管理工作</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日常统计工作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组织企业参加培训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帮助企业申报项目资金。</w:t>
      </w:r>
      <w:r>
        <w:rPr>
          <w:rFonts w:hint="eastAsia" w:ascii="仿宋_GB2312" w:hAnsi="仿宋_GB2312" w:eastAsia="仿宋_GB2312" w:cs="仿宋_GB2312"/>
          <w:sz w:val="32"/>
          <w:szCs w:val="32"/>
        </w:rPr>
        <w:tab/>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 加油站监管工作</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协助市商务局进行加油站的年检初检工作；协助上级部门进行加油站的日常督导检查、查处违规；新建加油站初检工作；加油站的环保检查、安全检查。</w:t>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 商贸流通行业管理工作</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日常数据统计及上级部门交代的其他工作。</w:t>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基地管理工作</w:t>
      </w:r>
      <w:r>
        <w:rPr>
          <w:rFonts w:hint="eastAsia" w:ascii="仿宋_GB2312" w:hAnsi="仿宋_GB2312" w:eastAsia="仿宋_GB2312" w:cs="仿宋_GB2312"/>
          <w:b w:val="0"/>
          <w:bCs w:val="0"/>
          <w:sz w:val="32"/>
          <w:szCs w:val="32"/>
        </w:rPr>
        <w:tab/>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服务外包管理工作</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协助企业申报服务外包专项资金；组织企业参加服务外包专项会议及定期培训工作；区内服务外包企业申报、审批及日常管理工作。</w:t>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招商引资工作</w:t>
      </w:r>
      <w:r>
        <w:rPr>
          <w:rFonts w:hint="eastAsia" w:ascii="仿宋_GB2312" w:hAnsi="仿宋_GB2312" w:eastAsia="仿宋_GB2312" w:cs="仿宋_GB2312"/>
          <w:b w:val="0"/>
          <w:bCs/>
          <w:sz w:val="32"/>
          <w:szCs w:val="32"/>
        </w:rPr>
        <w:tab/>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高新区项目招商及管理工作</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搜集、发布招商信息和项目材料；负责解释、协调落实高新区制定的与投资有关的优惠政策和招商引资的奖励办法。     </w:t>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负责组织和参与国内外各类招商洽谈活动</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组织、参加各类招商洽谈活动；负责与国家部委、国外驻京商社、科研院所、大专院校及中介机构的联络工作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b/>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外资、外贸、外经工作</w:t>
      </w:r>
      <w:r>
        <w:rPr>
          <w:rFonts w:hint="eastAsia" w:ascii="仿宋_GB2312" w:hAnsi="仿宋_GB2312" w:eastAsia="仿宋_GB2312" w:cs="仿宋_GB2312"/>
          <w:b w:val="0"/>
          <w:bCs w:val="0"/>
          <w:sz w:val="32"/>
          <w:szCs w:val="32"/>
        </w:rPr>
        <w:tab/>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 外资工作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负责区内外资企业的年报</w:t>
      </w:r>
      <w:r>
        <w:rPr>
          <w:rFonts w:hint="eastAsia" w:ascii="仿宋_GB2312" w:hAnsi="仿宋_GB2312" w:eastAsia="仿宋_GB2312" w:cs="仿宋_GB2312"/>
          <w:sz w:val="32"/>
          <w:szCs w:val="32"/>
          <w:lang w:eastAsia="zh-CN"/>
        </w:rPr>
        <w:t>和统计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2外贸工作</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组织区内企业参加国内、国际展览会、国际学术交流会，外贸工作培训会；专项资金申报工作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外经工作</w:t>
      </w:r>
      <w:r>
        <w:rPr>
          <w:rFonts w:hint="eastAsia" w:ascii="仿宋_GB2312" w:hAnsi="仿宋_GB2312" w:eastAsia="仿宋_GB2312" w:cs="仿宋_GB2312"/>
          <w:sz w:val="32"/>
          <w:szCs w:val="32"/>
          <w:lang w:eastAsia="zh-CN"/>
        </w:rPr>
        <w:t>，协助市商务局查处违规外派劳务事件，协助管理外派劳务企业，帮助企业申请专项资金。</w:t>
      </w:r>
      <w:r>
        <w:rPr>
          <w:rFonts w:hint="eastAsia" w:ascii="仿宋_GB2312" w:hAnsi="仿宋_GB2312" w:eastAsia="仿宋_GB2312" w:cs="仿宋_GB2312"/>
          <w:sz w:val="32"/>
          <w:szCs w:val="32"/>
        </w:rPr>
        <w:tab/>
      </w: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（五）</w:t>
      </w:r>
      <w:r>
        <w:rPr>
          <w:rFonts w:hint="eastAsia" w:ascii="仿宋_GB2312" w:hAnsi="仿宋_GB2312" w:eastAsia="仿宋_GB2312" w:cs="仿宋_GB2312"/>
          <w:b w:val="0"/>
          <w:bCs/>
          <w:sz w:val="32"/>
          <w:szCs w:val="32"/>
        </w:rPr>
        <w:t>协同发展工作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组织参加会议、会展</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项目服务工作</w:t>
      </w:r>
      <w:r>
        <w:rPr>
          <w:rFonts w:hint="eastAsia" w:ascii="仿宋_GB2312" w:hAnsi="仿宋_GB2312" w:eastAsia="仿宋_GB2312" w:cs="仿宋_GB2312"/>
          <w:sz w:val="32"/>
          <w:szCs w:val="32"/>
          <w:lang w:eastAsia="zh-CN"/>
        </w:rPr>
        <w:t>。</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产业服务工作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ind w:firstLine="5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合作统筹工作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5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产业对接工作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（六）承办上级部门交办的其他事项</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 xml:space="preserve">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p>
    <w:tbl>
      <w:tblPr>
        <w:tblStyle w:val="7"/>
        <w:tblpPr w:leftFromText="180" w:rightFromText="180" w:vertAnchor="text" w:horzAnchor="page" w:tblpXSpec="center" w:tblpY="10"/>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3413"/>
        <w:gridCol w:w="2169"/>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27"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413"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169"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509"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927" w:type="dxa"/>
            <w:vAlign w:val="center"/>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413" w:type="dxa"/>
            <w:vAlign w:val="center"/>
          </w:tcPr>
          <w:p>
            <w:pPr>
              <w:spacing w:after="0" w:line="560" w:lineRule="exact"/>
              <w:jc w:val="center"/>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保定国家高新技术产业开发区管理委员会招商服务局(本级)</w:t>
            </w:r>
          </w:p>
        </w:tc>
        <w:tc>
          <w:tcPr>
            <w:tcW w:w="2169" w:type="dxa"/>
            <w:vAlign w:val="center"/>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行政单位</w:t>
            </w:r>
          </w:p>
        </w:tc>
        <w:tc>
          <w:tcPr>
            <w:tcW w:w="2509" w:type="dxa"/>
            <w:vAlign w:val="center"/>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财政拨款</w:t>
            </w:r>
          </w:p>
        </w:tc>
      </w:tr>
    </w:tbl>
    <w:p>
      <w:pPr>
        <w:widowControl/>
        <w:spacing w:after="160" w:line="580" w:lineRule="exact"/>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rtlGutter w:val="0"/>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rtlGutter w:val="0"/>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rtlGutter w:val="0"/>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focussize="0,0" r:id="rId25"/>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收入总计（含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3124.12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，支出总计</w:t>
      </w:r>
      <w:r>
        <w:rPr>
          <w:rFonts w:hint="eastAsia" w:ascii="仿宋_GB2312" w:hAnsi="Times New Roman" w:eastAsia="仿宋_GB2312" w:cs="DengXian-Regular"/>
          <w:sz w:val="32"/>
          <w:szCs w:val="32"/>
          <w:lang w:val="en-US" w:eastAsia="zh-CN"/>
        </w:rPr>
        <w:t>（含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3124.12万元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度决算相比，</w:t>
      </w:r>
      <w:r>
        <w:rPr>
          <w:rFonts w:hint="eastAsia" w:ascii="仿宋_GB2312" w:hAnsi="Times New Roman" w:eastAsia="仿宋_GB2312" w:cs="DengXian-Regular"/>
          <w:sz w:val="32"/>
          <w:szCs w:val="32"/>
          <w:lang w:val="en-US" w:eastAsia="zh-CN"/>
        </w:rPr>
        <w:t>收入增加1134.54万元，增长57.49%，支出增加1146.60万元，增长58.43%，</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val="en-US" w:eastAsia="zh-CN"/>
        </w:rPr>
        <w:t>2019年加大招商引资力度，项目支出增加，如</w:t>
      </w:r>
      <w:r>
        <w:rPr>
          <w:rFonts w:hint="eastAsia" w:ascii="仿宋_GB2312" w:hAnsi="Times New Roman" w:eastAsia="仿宋_GB2312" w:cs="黑体"/>
          <w:color w:val="000000"/>
          <w:sz w:val="32"/>
          <w:szCs w:val="32"/>
        </w:rPr>
        <w:t>松盛元冷链科技项目</w:t>
      </w:r>
      <w:r>
        <w:rPr>
          <w:rFonts w:hint="eastAsia" w:ascii="仿宋_GB2312" w:hAnsi="Times New Roman" w:eastAsia="仿宋_GB2312" w:cs="黑体"/>
          <w:color w:val="000000"/>
          <w:sz w:val="32"/>
          <w:szCs w:val="32"/>
          <w:lang w:eastAsia="zh-CN"/>
        </w:rPr>
        <w:t>、</w:t>
      </w:r>
      <w:r>
        <w:rPr>
          <w:rFonts w:hint="eastAsia" w:ascii="仿宋_GB2312" w:hAnsi="Times New Roman" w:eastAsia="仿宋_GB2312" w:cs="黑体"/>
          <w:color w:val="000000"/>
          <w:sz w:val="32"/>
          <w:szCs w:val="32"/>
        </w:rPr>
        <w:t>易度机器人项目</w:t>
      </w:r>
      <w:r>
        <w:rPr>
          <w:rFonts w:hint="eastAsia" w:ascii="仿宋_GB2312" w:hAnsi="Times New Roman" w:eastAsia="仿宋_GB2312" w:cs="黑体"/>
          <w:color w:val="000000"/>
          <w:sz w:val="32"/>
          <w:szCs w:val="32"/>
          <w:lang w:eastAsia="zh-CN"/>
        </w:rPr>
        <w:t>、</w:t>
      </w:r>
      <w:r>
        <w:rPr>
          <w:rFonts w:hint="eastAsia" w:ascii="仿宋_GB2312" w:hAnsi="Times New Roman" w:eastAsia="仿宋_GB2312" w:cs="黑体"/>
          <w:color w:val="000000"/>
          <w:sz w:val="32"/>
          <w:szCs w:val="32"/>
        </w:rPr>
        <w:t>智造大街项目</w:t>
      </w:r>
      <w:r>
        <w:rPr>
          <w:rFonts w:hint="eastAsia" w:ascii="仿宋_GB2312" w:hAnsi="Times New Roman" w:eastAsia="仿宋_GB2312" w:cs="黑体"/>
          <w:color w:val="000000"/>
          <w:sz w:val="32"/>
          <w:szCs w:val="32"/>
          <w:lang w:eastAsia="zh-CN"/>
        </w:rPr>
        <w:t>等；补发</w:t>
      </w:r>
      <w:r>
        <w:rPr>
          <w:rFonts w:hint="eastAsia" w:ascii="仿宋_GB2312" w:hAnsi="Times New Roman" w:eastAsia="仿宋_GB2312" w:cs="黑体"/>
          <w:color w:val="000000"/>
          <w:sz w:val="32"/>
          <w:szCs w:val="32"/>
          <w:lang w:val="en-US" w:eastAsia="zh-CN"/>
        </w:rPr>
        <w:t>2018-2019年绩效工资</w:t>
      </w:r>
      <w:r>
        <w:rPr>
          <w:rFonts w:hint="eastAsia" w:ascii="仿宋_GB2312" w:hAnsi="Times New Roman" w:eastAsia="仿宋_GB2312" w:cs="黑体"/>
          <w:color w:val="000000"/>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w:t>
      </w:r>
      <w:r>
        <w:rPr>
          <w:rFonts w:hint="eastAsia" w:ascii="仿宋_GB2312" w:hAnsi="Times New Roman" w:eastAsia="仿宋_GB2312" w:cs="DengXian-Regular"/>
          <w:sz w:val="32"/>
          <w:szCs w:val="32"/>
          <w:lang w:val="en-US" w:eastAsia="zh-CN"/>
        </w:rPr>
        <w:t>3108.02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3108.02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w:t>
      </w:r>
      <w:r>
        <w:rPr>
          <w:rFonts w:hint="eastAsia" w:ascii="仿宋_GB2312" w:hAnsi="Times New Roman" w:eastAsia="仿宋_GB2312" w:cs="DengXian-Regular"/>
          <w:sz w:val="32"/>
          <w:szCs w:val="32"/>
          <w:lang w:val="en-US" w:eastAsia="zh-CN"/>
        </w:rPr>
        <w:t>3108.86</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275.02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8.85</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2833.84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91.15</w:t>
      </w:r>
      <w:r>
        <w:rPr>
          <w:rFonts w:hint="eastAsia" w:ascii="仿宋_GB2312" w:hAnsi="Times New Roman" w:eastAsia="仿宋_GB2312" w:cs="DengXian-Regular"/>
          <w:sz w:val="32"/>
          <w:szCs w:val="32"/>
        </w:rPr>
        <w:t>%。如图所示：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drawing>
          <wp:anchor distT="0" distB="0" distL="114300" distR="114300" simplePos="0" relativeHeight="994149376" behindDoc="0" locked="0" layoutInCell="1" allowOverlap="1">
            <wp:simplePos x="0" y="0"/>
            <wp:positionH relativeFrom="column">
              <wp:posOffset>354965</wp:posOffset>
            </wp:positionH>
            <wp:positionV relativeFrom="paragraph">
              <wp:posOffset>108585</wp:posOffset>
            </wp:positionV>
            <wp:extent cx="5080000" cy="2357755"/>
            <wp:effectExtent l="4445" t="4445" r="20955" b="19050"/>
            <wp:wrapTopAndBottom/>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hint="eastAsia" w:ascii="楷体_GB2312" w:hAnsi="Times New Roman" w:eastAsia="楷体_GB2312" w:cs="DengXian-Bold"/>
          <w:b/>
          <w:bCs/>
          <w:sz w:val="32"/>
          <w:szCs w:val="32"/>
          <w:lang w:eastAsia="zh-CN"/>
        </w:rPr>
        <w:t>2018</w:t>
      </w:r>
      <w:r>
        <w:rPr>
          <w:rFonts w:hint="eastAsia" w:ascii="楷体_GB2312" w:hAnsi="Times New Roman" w:eastAsia="楷体_GB2312" w:cs="DengXian-Bold"/>
          <w:b/>
          <w:bCs/>
          <w:sz w:val="32"/>
          <w:szCs w:val="32"/>
        </w:rPr>
        <w:t xml:space="preserve"> 年度决算对比情况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形成的财政拨款收支均为一般公共预算</w:t>
      </w:r>
      <w:r>
        <w:rPr>
          <w:rFonts w:hint="eastAsia" w:ascii="仿宋_GB2312" w:hAnsi="Times New Roman" w:eastAsia="仿宋_GB2312" w:cs="DengXian-Regular"/>
          <w:sz w:val="32"/>
          <w:szCs w:val="32"/>
        </w:rPr>
        <w:t>财政拨款</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其中本年收入3108.02</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,比2018年度</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1134.54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57.49</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补发</w:t>
      </w:r>
      <w:r>
        <w:rPr>
          <w:rFonts w:hint="eastAsia" w:ascii="仿宋_GB2312" w:hAnsi="Times New Roman" w:eastAsia="仿宋_GB2312" w:cs="DengXian-Regular"/>
          <w:sz w:val="32"/>
          <w:szCs w:val="32"/>
          <w:lang w:val="en-US" w:eastAsia="zh-CN"/>
        </w:rPr>
        <w:t>2018-2019年绩效工资</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3108.86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1146.60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58.43</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加大招商引资力度，增加项目补贴</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p>
    <w:p>
      <w:pPr>
        <w:pageBreakBefore w:val="0"/>
        <w:widowControl w:val="0"/>
        <w:kinsoku/>
        <w:wordWrap/>
        <w:overflowPunct/>
        <w:topLinePunct w:val="0"/>
        <w:autoSpaceDE/>
        <w:autoSpaceDN/>
        <w:bidi w:val="0"/>
        <w:adjustRightInd w:val="0"/>
        <w:snapToGrid w:val="0"/>
        <w:spacing w:line="580" w:lineRule="exact"/>
        <w:ind w:right="0" w:rightChars="0"/>
        <w:textAlignment w:val="auto"/>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lang w:eastAsia="zh-CN"/>
        </w:rPr>
        <w:drawing>
          <wp:anchor distT="0" distB="0" distL="114300" distR="114300" simplePos="0" relativeHeight="994150400" behindDoc="0" locked="0" layoutInCell="1" allowOverlap="1">
            <wp:simplePos x="0" y="0"/>
            <wp:positionH relativeFrom="column">
              <wp:posOffset>450850</wp:posOffset>
            </wp:positionH>
            <wp:positionV relativeFrom="paragraph">
              <wp:posOffset>257175</wp:posOffset>
            </wp:positionV>
            <wp:extent cx="5080000" cy="2120900"/>
            <wp:effectExtent l="4445" t="4445" r="20955" b="8255"/>
            <wp:wrapTopAndBottom/>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一般公共预算</w:t>
      </w:r>
      <w:r>
        <w:rPr>
          <w:rFonts w:hint="eastAsia" w:ascii="仿宋_GB2312" w:hAnsi="Times New Roman" w:eastAsia="仿宋_GB2312" w:cs="DengXian-Regular"/>
          <w:sz w:val="32"/>
          <w:szCs w:val="32"/>
        </w:rPr>
        <w:t>财政拨款收入</w:t>
      </w:r>
      <w:r>
        <w:rPr>
          <w:rFonts w:hint="eastAsia" w:ascii="仿宋_GB2312" w:hAnsi="Times New Roman" w:eastAsia="仿宋_GB2312" w:cs="DengXian-Regular"/>
          <w:sz w:val="32"/>
          <w:szCs w:val="32"/>
          <w:lang w:val="en-US" w:eastAsia="zh-CN"/>
        </w:rPr>
        <w:t>3108.02万元，完成年初预算的99.97%,比年初预算减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0.98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决算数小于预算数主要原因是本着勤俭节约的原则，减少不必要支出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3108.86万元，完成年初预算的99.99%,比年初预算减</w:t>
      </w:r>
      <w:r>
        <w:rPr>
          <w:rFonts w:hint="eastAsia" w:ascii="仿宋_GB2312" w:hAnsi="Times New Roman" w:eastAsia="仿宋_GB2312" w:cs="DengXian-Regular"/>
          <w:sz w:val="32"/>
          <w:szCs w:val="32"/>
        </w:rPr>
        <w:t>少</w:t>
      </w:r>
      <w:r>
        <w:rPr>
          <w:rFonts w:hint="eastAsia" w:ascii="仿宋_GB2312" w:hAnsi="Times New Roman" w:eastAsia="仿宋_GB2312" w:cs="DengXian-Regular"/>
          <w:sz w:val="32"/>
          <w:szCs w:val="32"/>
          <w:lang w:val="en-US" w:eastAsia="zh-CN"/>
        </w:rPr>
        <w:t>0.14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决算数小于预算数主要原因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尽量在预算内减少不必要的开支</w:t>
      </w:r>
      <w:r>
        <w:rPr>
          <w:rFonts w:hint="eastAsia" w:ascii="仿宋_GB2312" w:hAnsi="Times New Roman" w:eastAsia="仿宋_GB2312" w:cs="DengXian-Regular"/>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2019 年度财政拨款支出3108.86万元，主要用于以下方面一般公共服务支出2824.99万元，占90.87%，；文化旅游体育与传媒支出13万元，占0.42%；社会保障和就业支出6.41万元，占0.20%；卫生健康支出4.56万元，占0.15%；商业服务业等支出255.31万元，占8.21%；住房保障支出4.6万元，占0.15%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drawing>
          <wp:anchor distT="0" distB="0" distL="114300" distR="114300" simplePos="0" relativeHeight="994151424" behindDoc="0" locked="0" layoutInCell="1" allowOverlap="1">
            <wp:simplePos x="0" y="0"/>
            <wp:positionH relativeFrom="column">
              <wp:posOffset>489585</wp:posOffset>
            </wp:positionH>
            <wp:positionV relativeFrom="paragraph">
              <wp:posOffset>329565</wp:posOffset>
            </wp:positionV>
            <wp:extent cx="4675505" cy="1762125"/>
            <wp:effectExtent l="4445" t="4445" r="6350" b="5080"/>
            <wp:wrapTopAndBottom/>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 xml:space="preserve">   （四）一般公共预算基本支出决算情况说明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2019 年度财政拨款基本支出275.02万元，其中：人员经费 263.32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11.70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五、一般公共预算“三公” 经费支出决算情况说明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度“三公”经费支出共计</w:t>
      </w:r>
      <w:r>
        <w:rPr>
          <w:rFonts w:hint="eastAsia" w:ascii="仿宋_GB2312" w:hAnsi="Times New Roman" w:eastAsia="仿宋_GB2312" w:cs="DengXian-Regular"/>
          <w:sz w:val="32"/>
          <w:szCs w:val="32"/>
          <w:lang w:val="en-US" w:eastAsia="zh-CN"/>
        </w:rPr>
        <w:t>7.64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完成预算的</w:t>
      </w:r>
      <w:r>
        <w:rPr>
          <w:rFonts w:hint="eastAsia" w:ascii="仿宋_GB2312" w:hAnsi="Times New Roman" w:eastAsia="仿宋_GB2312" w:cs="DengXian-Regular"/>
          <w:sz w:val="32"/>
          <w:szCs w:val="32"/>
          <w:lang w:val="en-US" w:eastAsia="zh-CN"/>
        </w:rPr>
        <w:t>15.28%,</w:t>
      </w:r>
      <w:r>
        <w:rPr>
          <w:rFonts w:hint="eastAsia" w:ascii="仿宋_GB2312" w:hAnsi="Times New Roman" w:eastAsia="仿宋_GB2312" w:cs="DengXian-Regular"/>
          <w:b w:val="0"/>
          <w:bCs w:val="0"/>
          <w:sz w:val="32"/>
          <w:szCs w:val="32"/>
        </w:rPr>
        <w:t>较预算</w:t>
      </w:r>
      <w:r>
        <w:rPr>
          <w:rFonts w:hint="eastAsia" w:ascii="仿宋_GB2312" w:hAnsi="Times New Roman" w:eastAsia="仿宋_GB2312" w:cs="DengXian-Regular"/>
          <w:b w:val="0"/>
          <w:bCs w:val="0"/>
          <w:sz w:val="32"/>
          <w:szCs w:val="32"/>
          <w:lang w:eastAsia="zh-CN"/>
        </w:rPr>
        <w:t>减少</w:t>
      </w:r>
      <w:r>
        <w:rPr>
          <w:rFonts w:hint="eastAsia" w:ascii="仿宋_GB2312" w:hAnsi="Times New Roman" w:eastAsia="仿宋_GB2312" w:cs="DengXian-Regular"/>
          <w:b w:val="0"/>
          <w:bCs w:val="0"/>
          <w:sz w:val="32"/>
          <w:szCs w:val="32"/>
          <w:lang w:val="en-US" w:eastAsia="zh-CN"/>
        </w:rPr>
        <w:t>42.36</w:t>
      </w:r>
      <w:r>
        <w:rPr>
          <w:rFonts w:hint="eastAsia" w:ascii="仿宋_GB2312" w:hAnsi="Times New Roman" w:eastAsia="仿宋_GB2312" w:cs="DengXian-Regular"/>
          <w:b w:val="0"/>
          <w:bCs w:val="0"/>
          <w:sz w:val="32"/>
          <w:szCs w:val="32"/>
        </w:rPr>
        <w:t>万元，降低</w:t>
      </w:r>
      <w:r>
        <w:rPr>
          <w:rFonts w:hint="eastAsia" w:ascii="仿宋_GB2312" w:hAnsi="Times New Roman" w:eastAsia="仿宋_GB2312" w:cs="DengXian-Regular"/>
          <w:b w:val="0"/>
          <w:bCs w:val="0"/>
          <w:sz w:val="32"/>
          <w:szCs w:val="32"/>
          <w:lang w:val="en-US" w:eastAsia="zh-CN"/>
        </w:rPr>
        <w:t>84.72</w:t>
      </w:r>
      <w:r>
        <w:rPr>
          <w:rFonts w:hint="eastAsia" w:ascii="仿宋_GB2312" w:hAnsi="Times New Roman" w:eastAsia="仿宋_GB2312" w:cs="DengXian-Regular"/>
          <w:b w:val="0"/>
          <w:bCs w:val="0"/>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减少出国费用，尽量压缩开支</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1.15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17.76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项目出访目的地和天数差异</w:t>
      </w:r>
      <w:r>
        <w:rPr>
          <w:rFonts w:hint="eastAsia" w:ascii="仿宋_GB2312" w:hAnsi="Times New Roman" w:eastAsia="仿宋_GB2312" w:cs="DengXian-Regular"/>
          <w:sz w:val="32"/>
          <w:szCs w:val="32"/>
        </w:rPr>
        <w:t>。具体情况如下：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7.64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度参加其他单位组织的因公出国（境）团组</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人。因公出国（境）费支出</w:t>
      </w:r>
      <w:r>
        <w:rPr>
          <w:rFonts w:hint="eastAsia" w:ascii="仿宋_GB2312" w:hAnsi="Times New Roman" w:eastAsia="仿宋_GB2312" w:cs="DengXian-Regular"/>
          <w:b w:val="0"/>
          <w:bCs w:val="0"/>
          <w:sz w:val="32"/>
          <w:szCs w:val="32"/>
        </w:rPr>
        <w:t>较预算</w:t>
      </w:r>
      <w:r>
        <w:rPr>
          <w:rFonts w:hint="eastAsia" w:ascii="仿宋_GB2312" w:hAnsi="Times New Roman" w:eastAsia="仿宋_GB2312" w:cs="DengXian-Regular"/>
          <w:b w:val="0"/>
          <w:bCs w:val="0"/>
          <w:sz w:val="32"/>
          <w:szCs w:val="32"/>
          <w:lang w:eastAsia="zh-CN"/>
        </w:rPr>
        <w:t>减少</w:t>
      </w:r>
      <w:r>
        <w:rPr>
          <w:rFonts w:hint="eastAsia" w:ascii="仿宋_GB2312" w:hAnsi="Times New Roman" w:eastAsia="仿宋_GB2312" w:cs="DengXian-Regular"/>
          <w:b w:val="0"/>
          <w:bCs w:val="0"/>
          <w:sz w:val="32"/>
          <w:szCs w:val="32"/>
          <w:lang w:val="en-US" w:eastAsia="zh-CN"/>
        </w:rPr>
        <w:t>42.36</w:t>
      </w:r>
      <w:r>
        <w:rPr>
          <w:rFonts w:hint="eastAsia" w:ascii="仿宋_GB2312" w:hAnsi="Times New Roman" w:eastAsia="仿宋_GB2312" w:cs="DengXian-Regular"/>
          <w:b w:val="0"/>
          <w:bCs w:val="0"/>
          <w:sz w:val="32"/>
          <w:szCs w:val="32"/>
        </w:rPr>
        <w:t>万元，降低</w:t>
      </w:r>
      <w:r>
        <w:rPr>
          <w:rFonts w:hint="eastAsia" w:ascii="仿宋_GB2312" w:hAnsi="Times New Roman" w:eastAsia="仿宋_GB2312" w:cs="DengXian-Regular"/>
          <w:b w:val="0"/>
          <w:bCs w:val="0"/>
          <w:sz w:val="32"/>
          <w:szCs w:val="32"/>
          <w:lang w:val="en-US" w:eastAsia="zh-CN"/>
        </w:rPr>
        <w:t>84.72</w:t>
      </w:r>
      <w:r>
        <w:rPr>
          <w:rFonts w:hint="eastAsia" w:ascii="仿宋_GB2312" w:hAnsi="Times New Roman" w:eastAsia="仿宋_GB2312" w:cs="DengXian-Regular"/>
          <w:b w:val="0"/>
          <w:bCs w:val="0"/>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尽量压缩开支，做到经费利用效率的最大化</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1.15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17.76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项目出访目的地和天数差异。</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hint="eastAsia" w:ascii="仿宋_GB2312" w:hAnsi="Times New Roman" w:eastAsia="仿宋_GB2312" w:cs="DengXian-Regular"/>
          <w:sz w:val="32"/>
          <w:szCs w:val="32"/>
          <w:highlight w:val="yellow"/>
          <w:lang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未发生此类支出。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 预算绩效管理工作开展情况。</w:t>
      </w:r>
    </w:p>
    <w:p>
      <w:pPr>
        <w:spacing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根据财政预算绩效管理要求，</w:t>
      </w:r>
      <w:r>
        <w:rPr>
          <w:rFonts w:hint="eastAsia" w:ascii="仿宋_GB2312" w:hAnsi="仿宋_GB2312" w:eastAsia="仿宋_GB2312" w:cs="仿宋_GB2312"/>
          <w:kern w:val="0"/>
          <w:sz w:val="32"/>
          <w:szCs w:val="32"/>
          <w:lang w:eastAsia="zh-CN"/>
        </w:rPr>
        <w:t>招商</w:t>
      </w:r>
      <w:r>
        <w:rPr>
          <w:rFonts w:hint="eastAsia" w:ascii="仿宋_GB2312" w:hAnsi="仿宋_GB2312" w:eastAsia="仿宋_GB2312" w:cs="仿宋_GB2312"/>
          <w:kern w:val="0"/>
          <w:sz w:val="32"/>
          <w:szCs w:val="32"/>
        </w:rPr>
        <w:t>局以“部门职责—工作活动”为依据，确定部门预算项目和预算额度，清晰描述预算项目开支范围和内容，确定预算项目的绩效目标、绩效指标和评价标准，为预算绩效控制、绩效分析、绩效评价打下好的基础。在执行过程中，实时督导，确保期初绩效目标按时间进度完成。</w:t>
      </w:r>
    </w:p>
    <w:p>
      <w:pPr>
        <w:spacing w:line="620" w:lineRule="exact"/>
        <w:ind w:firstLine="640" w:firstLineChars="200"/>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kern w:val="0"/>
          <w:sz w:val="32"/>
          <w:szCs w:val="32"/>
        </w:rPr>
        <w:t>2019年保定国家高新区</w:t>
      </w:r>
      <w:r>
        <w:rPr>
          <w:rFonts w:hint="eastAsia" w:ascii="仿宋_GB2312" w:hAnsi="仿宋_GB2312" w:eastAsia="仿宋_GB2312" w:cs="仿宋_GB2312"/>
          <w:kern w:val="0"/>
          <w:sz w:val="32"/>
          <w:szCs w:val="32"/>
          <w:lang w:eastAsia="zh-CN"/>
        </w:rPr>
        <w:t>招商</w:t>
      </w:r>
      <w:r>
        <w:rPr>
          <w:rFonts w:hint="eastAsia" w:ascii="仿宋_GB2312" w:hAnsi="仿宋_GB2312" w:eastAsia="仿宋_GB2312" w:cs="仿宋_GB2312"/>
          <w:kern w:val="0"/>
          <w:sz w:val="32"/>
          <w:szCs w:val="32"/>
        </w:rPr>
        <w:t>局严格按照年初部门预算的绩效目标开展工作，较好地完成了年初预算的各项绩效指标，年底通过了绩效评价。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321" w:firstLineChars="1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 部门决算中项目绩效自评结果。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楷体_GB2312" w:hAnsi="仿宋" w:eastAsia="楷体_GB2312"/>
          <w:b/>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19</w:t>
      </w:r>
      <w:r>
        <w:rPr>
          <w:rFonts w:hint="eastAsia" w:ascii="仿宋_GB2312" w:hAnsi="仿宋" w:eastAsia="仿宋_GB2312"/>
          <w:sz w:val="32"/>
          <w:szCs w:val="32"/>
        </w:rPr>
        <w:t>年，我</w:t>
      </w:r>
      <w:r>
        <w:rPr>
          <w:rFonts w:hint="eastAsia" w:ascii="仿宋_GB2312" w:hAnsi="仿宋" w:eastAsia="仿宋_GB2312"/>
          <w:sz w:val="32"/>
          <w:szCs w:val="32"/>
          <w:lang w:eastAsia="zh-CN"/>
        </w:rPr>
        <w:t>部门针对绩效管理制度不够完善、上半年支出进度缓慢、绩效运行监督不够全面等问题，进行了内部调整、完善和改进，主要包括以下几方面：</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一</w:t>
      </w:r>
      <w:r>
        <w:rPr>
          <w:rFonts w:hint="eastAsia" w:ascii="仿宋" w:hAnsi="仿宋" w:eastAsia="仿宋"/>
          <w:b/>
          <w:bCs/>
          <w:sz w:val="32"/>
          <w:szCs w:val="32"/>
        </w:rPr>
        <w:t>)完善制度建设。</w:t>
      </w:r>
    </w:p>
    <w:p>
      <w:pPr>
        <w:spacing w:line="580" w:lineRule="exact"/>
        <w:ind w:firstLine="630"/>
        <w:rPr>
          <w:rFonts w:hint="eastAsia" w:ascii="仿宋" w:hAnsi="仿宋" w:eastAsia="仿宋"/>
          <w:sz w:val="32"/>
          <w:szCs w:val="32"/>
        </w:rPr>
      </w:pPr>
      <w:r>
        <w:rPr>
          <w:rFonts w:hint="eastAsia" w:ascii="仿宋" w:hAnsi="仿宋" w:eastAsia="仿宋"/>
          <w:sz w:val="32"/>
          <w:szCs w:val="32"/>
        </w:rPr>
        <w:t>制定预算绩效管理制度、资金管理办法、工作保障制度等，为全年预算绩效目标的实现奠定制度基础。</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二</w:t>
      </w:r>
      <w:r>
        <w:rPr>
          <w:rFonts w:hint="eastAsia" w:ascii="仿宋" w:hAnsi="仿宋" w:eastAsia="仿宋"/>
          <w:b/>
          <w:bCs/>
          <w:sz w:val="32"/>
          <w:szCs w:val="32"/>
        </w:rPr>
        <w:t>)加强支出管理。</w:t>
      </w:r>
    </w:p>
    <w:p>
      <w:pPr>
        <w:spacing w:line="580" w:lineRule="exact"/>
        <w:ind w:firstLine="630"/>
        <w:rPr>
          <w:rFonts w:hint="eastAsia" w:ascii="仿宋" w:hAnsi="仿宋" w:eastAsia="仿宋"/>
          <w:sz w:val="32"/>
          <w:szCs w:val="32"/>
        </w:rPr>
      </w:pPr>
      <w:r>
        <w:rPr>
          <w:rFonts w:hint="eastAsia" w:ascii="仿宋" w:hAnsi="仿宋" w:eastAsia="仿宋"/>
          <w:sz w:val="32"/>
          <w:szCs w:val="32"/>
        </w:rPr>
        <w:t>通过优化支出结构、编细编实预算、加快履行政府采购手续、尽快启动项目、及时支付资金、6月底前细化代编预算、按规定及时下达资金等多种措施，确保支出进度达标。</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三</w:t>
      </w:r>
      <w:r>
        <w:rPr>
          <w:rFonts w:hint="eastAsia" w:ascii="仿宋" w:hAnsi="仿宋" w:eastAsia="仿宋"/>
          <w:b/>
          <w:bCs/>
          <w:sz w:val="32"/>
          <w:szCs w:val="32"/>
        </w:rPr>
        <w:t>)加强绩效运行监控。</w:t>
      </w:r>
    </w:p>
    <w:p>
      <w:pPr>
        <w:spacing w:line="580" w:lineRule="exact"/>
        <w:ind w:firstLine="630"/>
        <w:rPr>
          <w:rFonts w:hint="eastAsia" w:ascii="仿宋" w:hAnsi="仿宋" w:eastAsia="仿宋"/>
          <w:sz w:val="32"/>
          <w:szCs w:val="32"/>
        </w:rPr>
      </w:pPr>
      <w:r>
        <w:rPr>
          <w:rFonts w:hint="eastAsia" w:ascii="仿宋" w:hAnsi="仿宋" w:eastAsia="仿宋"/>
          <w:sz w:val="32"/>
          <w:szCs w:val="32"/>
        </w:rPr>
        <w:t>按要求开展绩效运行监控，发现问题及时采取措施，确保绩效目标如期保质实现。</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四</w:t>
      </w:r>
      <w:r>
        <w:rPr>
          <w:rFonts w:hint="eastAsia" w:ascii="仿宋" w:hAnsi="仿宋" w:eastAsia="仿宋"/>
          <w:b/>
          <w:bCs/>
          <w:sz w:val="32"/>
          <w:szCs w:val="32"/>
        </w:rPr>
        <w:t>)做好绩效自评。</w:t>
      </w:r>
    </w:p>
    <w:p>
      <w:pPr>
        <w:spacing w:line="580" w:lineRule="exact"/>
        <w:ind w:firstLine="630"/>
        <w:rPr>
          <w:rFonts w:hint="eastAsia" w:ascii="仿宋" w:hAnsi="仿宋" w:eastAsia="仿宋"/>
          <w:sz w:val="32"/>
          <w:szCs w:val="32"/>
        </w:rPr>
      </w:pPr>
      <w:r>
        <w:rPr>
          <w:rFonts w:hint="eastAsia" w:ascii="仿宋" w:hAnsi="仿宋" w:eastAsia="仿宋"/>
          <w:sz w:val="32"/>
          <w:szCs w:val="32"/>
        </w:rPr>
        <w:t>按要求开展上年度部门预算绩效自评和重点评价工作，对评价中发现的问题及时整改，调整优化支出结构，提高财政资金使用效益。</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五</w:t>
      </w:r>
      <w:r>
        <w:rPr>
          <w:rFonts w:hint="eastAsia" w:ascii="仿宋" w:hAnsi="仿宋" w:eastAsia="仿宋"/>
          <w:b/>
          <w:bCs/>
          <w:sz w:val="32"/>
          <w:szCs w:val="32"/>
        </w:rPr>
        <w:t>)规范财务资产管理。</w:t>
      </w:r>
    </w:p>
    <w:p>
      <w:pPr>
        <w:spacing w:line="580" w:lineRule="exact"/>
        <w:ind w:firstLine="630"/>
        <w:rPr>
          <w:rFonts w:hint="eastAsia" w:ascii="仿宋" w:hAnsi="仿宋" w:eastAsia="仿宋"/>
          <w:sz w:val="32"/>
          <w:szCs w:val="32"/>
        </w:rPr>
      </w:pPr>
      <w:r>
        <w:rPr>
          <w:rFonts w:hint="eastAsia" w:ascii="仿宋" w:hAnsi="仿宋" w:eastAsia="仿宋"/>
          <w:sz w:val="32"/>
          <w:szCs w:val="32"/>
        </w:rPr>
        <w:t>完善财务管理制度，严格审批程序，加强固定资产登记、使用和报废处置管理，做到支出合理，物尽其用。</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六</w:t>
      </w:r>
      <w:r>
        <w:rPr>
          <w:rFonts w:hint="eastAsia" w:ascii="仿宋" w:hAnsi="仿宋" w:eastAsia="仿宋"/>
          <w:b/>
          <w:bCs/>
          <w:sz w:val="32"/>
          <w:szCs w:val="32"/>
        </w:rPr>
        <w:t>)加强内部监督。</w:t>
      </w:r>
    </w:p>
    <w:p>
      <w:pPr>
        <w:spacing w:line="580" w:lineRule="exact"/>
        <w:ind w:firstLine="630"/>
        <w:rPr>
          <w:rFonts w:hint="eastAsia" w:ascii="仿宋" w:hAnsi="仿宋" w:eastAsia="仿宋"/>
          <w:b/>
          <w:bCs/>
          <w:sz w:val="32"/>
          <w:szCs w:val="32"/>
        </w:rPr>
      </w:pPr>
      <w:r>
        <w:rPr>
          <w:rFonts w:hint="eastAsia" w:ascii="仿宋" w:hAnsi="仿宋" w:eastAsia="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0" w:lineRule="exact"/>
        <w:ind w:firstLine="630"/>
        <w:rPr>
          <w:rFonts w:hint="eastAsia" w:ascii="仿宋" w:hAnsi="仿宋" w:eastAsia="仿宋"/>
          <w:b/>
          <w:bCs/>
          <w:sz w:val="32"/>
          <w:szCs w:val="32"/>
        </w:rPr>
      </w:pPr>
      <w:r>
        <w:rPr>
          <w:rFonts w:hint="eastAsia" w:ascii="仿宋" w:hAnsi="仿宋" w:eastAsia="仿宋"/>
          <w:b/>
          <w:bCs/>
          <w:sz w:val="32"/>
          <w:szCs w:val="32"/>
        </w:rPr>
        <w:t>(</w:t>
      </w:r>
      <w:r>
        <w:rPr>
          <w:rFonts w:hint="eastAsia" w:ascii="仿宋" w:hAnsi="仿宋" w:eastAsia="仿宋"/>
          <w:b/>
          <w:bCs/>
          <w:sz w:val="32"/>
          <w:szCs w:val="32"/>
          <w:lang w:eastAsia="zh-CN"/>
        </w:rPr>
        <w:t>七</w:t>
      </w:r>
      <w:r>
        <w:rPr>
          <w:rFonts w:hint="eastAsia" w:ascii="仿宋" w:hAnsi="仿宋" w:eastAsia="仿宋"/>
          <w:b/>
          <w:bCs/>
          <w:sz w:val="32"/>
          <w:szCs w:val="32"/>
        </w:rPr>
        <w:t>)加强宣传培训调研等。</w:t>
      </w:r>
    </w:p>
    <w:p>
      <w:pPr>
        <w:spacing w:line="580" w:lineRule="exact"/>
        <w:ind w:firstLine="630"/>
        <w:rPr>
          <w:rFonts w:hint="eastAsia" w:ascii="仿宋" w:hAnsi="仿宋" w:eastAsia="仿宋"/>
          <w:b/>
          <w:bCs/>
          <w:sz w:val="32"/>
          <w:szCs w:val="32"/>
        </w:rPr>
      </w:pPr>
      <w:r>
        <w:rPr>
          <w:rFonts w:hint="eastAsia" w:ascii="仿宋" w:hAnsi="仿宋" w:eastAsia="仿宋"/>
          <w:sz w:val="32"/>
          <w:szCs w:val="32"/>
        </w:rPr>
        <w:t>加强人员培训，提高本部门职工业务素质；加强调研，提出优化财政资金配置、提高资金使用效益的意见意见；加大宣传力度，强化预算绩效管理意识，促进预算绩效管理水平进一步提升。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度机关运行经费支出</w:t>
      </w:r>
      <w:r>
        <w:rPr>
          <w:rFonts w:hint="eastAsia" w:ascii="仿宋_GB2312" w:hAnsi="Times New Roman" w:eastAsia="仿宋_GB2312" w:cs="DengXian-Regular"/>
          <w:sz w:val="32"/>
          <w:szCs w:val="32"/>
          <w:lang w:val="en-US" w:eastAsia="zh-CN"/>
        </w:rPr>
        <w:t>11.7</w:t>
      </w:r>
      <w:r>
        <w:rPr>
          <w:rFonts w:hint="eastAsia" w:ascii="仿宋_GB2312" w:hAnsi="Times New Roman" w:eastAsia="仿宋_GB2312" w:cs="DengXian-Regular"/>
          <w:sz w:val="32"/>
          <w:szCs w:val="32"/>
        </w:rPr>
        <w:t>万元，比</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2.06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21.37</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由于日常办公需要及招商局招商职能所需，办公费、差旅费有所增加</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（三）国有资产占用情况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仿宋_GB2312" w:cs="DengXian-Bold"/>
          <w:b/>
          <w:bCs/>
          <w:kern w:val="2"/>
          <w:sz w:val="32"/>
          <w:szCs w:val="32"/>
          <w:lang w:val="en-US" w:eastAsia="zh-CN" w:bidi="ar-SA"/>
        </w:rPr>
      </w:pPr>
      <w:r>
        <w:rPr>
          <w:rFonts w:hint="eastAsia" w:ascii="仿宋_GB2312" w:hAnsi="Times New Roman" w:eastAsia="仿宋_GB2312" w:cs="DengXian-Regular"/>
          <w:sz w:val="32"/>
          <w:szCs w:val="32"/>
        </w:rPr>
        <w:t>截至</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12月31日，本部门</w:t>
      </w:r>
      <w:r>
        <w:rPr>
          <w:rFonts w:hint="eastAsia" w:ascii="仿宋_GB2312" w:hAnsi="Times New Roman" w:eastAsia="仿宋_GB2312" w:cs="DengXian-Regular"/>
          <w:sz w:val="32"/>
          <w:szCs w:val="32"/>
          <w:lang w:eastAsia="zh-CN"/>
        </w:rPr>
        <w:t>没</w:t>
      </w:r>
      <w:r>
        <w:rPr>
          <w:rFonts w:hint="eastAsia" w:ascii="仿宋_GB2312" w:hAnsi="Times New Roman" w:eastAsia="仿宋_GB2312" w:cs="DengXian-Regular"/>
          <w:sz w:val="32"/>
          <w:szCs w:val="32"/>
        </w:rPr>
        <w:t>有车辆</w:t>
      </w:r>
      <w:r>
        <w:rPr>
          <w:rFonts w:hint="eastAsia" w:ascii="仿宋_GB2312" w:hAnsi="Times New Roman" w:eastAsia="仿宋_GB2312" w:cs="DengXian-Regular"/>
          <w:sz w:val="32"/>
          <w:szCs w:val="32"/>
          <w:lang w:eastAsia="zh-CN"/>
        </w:rPr>
        <w:t>，没有</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通用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eastAsia="zh-CN"/>
        </w:rPr>
        <w:t>和</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专用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政府性基金预算、国有资本经营预算</w:t>
      </w:r>
      <w:r>
        <w:rPr>
          <w:rFonts w:hint="eastAsia" w:ascii="仿宋_GB2312" w:hAnsi="Times New Roman" w:eastAsia="仿宋_GB2312" w:cs="DengXian-Regular"/>
          <w:sz w:val="32"/>
          <w:szCs w:val="32"/>
        </w:rPr>
        <w:t>无收支及结转结余情况，故政府性基金预算财政拨款收入支出决算表</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rtlGutter w:val="0"/>
          <w:docGrid w:type="lines" w:linePitch="312" w:charSpace="0"/>
        </w:sect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sectPr>
          <w:type w:val="continuous"/>
          <w:pgSz w:w="11906" w:h="16838"/>
          <w:pgMar w:top="2041" w:right="1531" w:bottom="2041" w:left="1531" w:header="851" w:footer="992" w:gutter="0"/>
          <w:pgNumType w:fmt="numberInDash"/>
          <w:cols w:space="0" w:num="1"/>
          <w:titlePg/>
          <w:rtlGutter w:val="0"/>
          <w:docGrid w:type="lines" w:linePitch="312" w:charSpace="0"/>
        </w:sectPr>
      </w:pPr>
    </w:p>
    <w:p>
      <w:pPr>
        <w:rPr>
          <w:rFonts w:hint="default" w:ascii="黑体" w:hAnsi="黑体" w:eastAsia="黑体" w:cs="黑体"/>
          <w:sz w:val="56"/>
          <w:szCs w:val="72"/>
          <w:lang w:val="en-US" w:eastAsia="zh-CN"/>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rtlGutter w:val="0"/>
          <w:docGrid w:type="lines" w:linePitch="312" w:charSpace="0"/>
        </w:sectPr>
      </w:pPr>
      <w:r>
        <w:rPr>
          <w:rFonts w:hint="default" w:ascii="黑体" w:hAnsi="黑体" w:eastAsia="黑体" w:cs="黑体"/>
          <w:sz w:val="56"/>
          <w:szCs w:val="72"/>
          <w:lang w:val="en-US" w:eastAsia="zh-CN"/>
        </w:rPr>
        <w:br w:type="page"/>
      </w:r>
    </w:p>
    <w:p>
      <w:pP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sz w:val="72"/>
        </w:rPr>
        <mc:AlternateContent>
          <mc:Choice Requires="wps">
            <w:drawing>
              <wp:anchor distT="0" distB="0" distL="114300" distR="114300" simplePos="0" relativeHeight="62290227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62290227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focussize="0,0" r:id="rId25"/>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86"/>
        </w:tabs>
        <w:bidi w:val="0"/>
        <w:jc w:val="left"/>
        <w:rPr>
          <w:rFonts w:hint="eastAsia"/>
          <w:lang w:val="en-US" w:eastAsia="zh-CN"/>
        </w:rPr>
        <w:sectPr>
          <w:headerReference r:id="rId19" w:type="first"/>
          <w:pgSz w:w="11906" w:h="16838"/>
          <w:pgMar w:top="2041" w:right="1531" w:bottom="2041" w:left="1531" w:header="851" w:footer="992" w:gutter="0"/>
          <w:pgNumType w:fmt="numberInDash"/>
          <w:cols w:space="0" w:num="1"/>
          <w:titlePg/>
          <w:rtlGutter w:val="0"/>
          <w:docGrid w:type="lines" w:linePitch="312" w:charSpace="0"/>
        </w:sectPr>
      </w:pPr>
    </w:p>
    <w:p>
      <w:pPr>
        <w:rPr>
          <w:rFonts w:hint="eastAsia"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headerReference r:id="rId20"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bidi w:val="0"/>
        <w:jc w:val="left"/>
        <w:rPr>
          <w:rFonts w:hint="eastAsia"/>
          <w:lang w:val="en-US" w:eastAsia="zh-CN"/>
        </w:rPr>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3221620736"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1073346560;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v:fill type="pattern" on="t" color2="#FFFFFF [3212]" focussize="0,0" r:id="rId25"/>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tbl>
      <w:tblPr>
        <w:tblStyle w:val="6"/>
        <w:tblpPr w:leftFromText="180" w:rightFromText="180" w:vertAnchor="text" w:horzAnchor="page" w:tblpX="975" w:tblpY="614"/>
        <w:tblOverlap w:val="never"/>
        <w:tblW w:w="10565" w:type="dxa"/>
        <w:tblInd w:w="0" w:type="dxa"/>
        <w:shd w:val="clear" w:color="auto" w:fill="auto"/>
        <w:tblLayout w:type="autofit"/>
        <w:tblCellMar>
          <w:top w:w="0" w:type="dxa"/>
          <w:left w:w="0" w:type="dxa"/>
          <w:bottom w:w="0" w:type="dxa"/>
          <w:right w:w="0" w:type="dxa"/>
        </w:tblCellMar>
      </w:tblPr>
      <w:tblGrid>
        <w:gridCol w:w="3465"/>
        <w:gridCol w:w="570"/>
        <w:gridCol w:w="1080"/>
        <w:gridCol w:w="3450"/>
        <w:gridCol w:w="570"/>
        <w:gridCol w:w="1430"/>
      </w:tblGrid>
      <w:tr>
        <w:tblPrEx>
          <w:shd w:val="clear" w:color="auto" w:fill="auto"/>
          <w:tblCellMar>
            <w:top w:w="0" w:type="dxa"/>
            <w:left w:w="0" w:type="dxa"/>
            <w:bottom w:w="0" w:type="dxa"/>
            <w:right w:w="0" w:type="dxa"/>
          </w:tblCellMar>
        </w:tblPrEx>
        <w:trPr>
          <w:trHeight w:val="390" w:hRule="atLeast"/>
        </w:trPr>
        <w:tc>
          <w:tcPr>
            <w:tcW w:w="10565" w:type="dxa"/>
            <w:gridSpan w:val="6"/>
            <w:tcBorders>
              <w:top w:val="nil"/>
              <w:left w:val="nil"/>
              <w:bottom w:val="nil"/>
              <w:right w:val="nil"/>
            </w:tcBorders>
            <w:shd w:val="clear" w:color="auto" w:fill="auto"/>
            <w:noWrap/>
            <w:tcMar>
              <w:top w:w="15" w:type="dxa"/>
              <w:left w:w="15" w:type="dxa"/>
              <w:right w:w="15" w:type="dxa"/>
            </w:tcMar>
            <w:vAlign w:val="center"/>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346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346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115"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450"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3,108.02</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2,824.99</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3,108.02</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3,108.86</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15.26</w:t>
            </w: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465"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3,124.12</w:t>
            </w:r>
          </w:p>
        </w:tc>
        <w:tc>
          <w:tcPr>
            <w:tcW w:w="345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3,124.12</w:t>
            </w:r>
          </w:p>
        </w:tc>
      </w:tr>
      <w:tr>
        <w:tblPrEx>
          <w:tblCellMar>
            <w:top w:w="0" w:type="dxa"/>
            <w:left w:w="0" w:type="dxa"/>
            <w:bottom w:w="0" w:type="dxa"/>
            <w:right w:w="0" w:type="dxa"/>
          </w:tblCellMar>
        </w:tblPrEx>
        <w:trPr>
          <w:trHeight w:val="308" w:hRule="atLeast"/>
        </w:trPr>
        <w:tc>
          <w:tcPr>
            <w:tcW w:w="10565"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tabs>
          <w:tab w:val="left" w:pos="886"/>
        </w:tabs>
        <w:bidi w:val="0"/>
        <w:jc w:val="left"/>
        <w:rPr>
          <w:rFonts w:hint="default"/>
          <w:lang w:val="en-US" w:eastAsia="zh-CN"/>
        </w:rPr>
      </w:pPr>
    </w:p>
    <w:p>
      <w:pPr>
        <w:bidi w:val="0"/>
        <w:jc w:val="left"/>
        <w:rPr>
          <w:rFonts w:hint="default"/>
          <w:lang w:val="en-US" w:eastAsia="zh-CN"/>
        </w:rPr>
        <w:sectPr>
          <w:headerReference r:id="rId22" w:type="first"/>
          <w:headerReference r:id="rId21" w:type="default"/>
          <w:footerReference r:id="rId23" w:type="default"/>
          <w:pgSz w:w="11906" w:h="16838"/>
          <w:pgMar w:top="1814" w:right="1417" w:bottom="1281" w:left="1474" w:header="851" w:footer="992" w:gutter="0"/>
          <w:pgNumType w:fmt="numberInDash"/>
          <w:cols w:space="0" w:num="1"/>
          <w:rtlGutter w:val="0"/>
          <w:docGrid w:type="lines" w:linePitch="312" w:charSpace="0"/>
        </w:sectPr>
      </w:pPr>
    </w:p>
    <w:p>
      <w:pPr>
        <w:bidi w:val="0"/>
        <w:jc w:val="left"/>
        <w:rPr>
          <w:rFonts w:hint="default"/>
          <w:lang w:val="en-US" w:eastAsia="zh-CN"/>
        </w:rPr>
      </w:pPr>
    </w:p>
    <w:tbl>
      <w:tblPr>
        <w:tblStyle w:val="6"/>
        <w:tblW w:w="14950" w:type="dxa"/>
        <w:tblInd w:w="-498" w:type="dxa"/>
        <w:shd w:val="clear" w:color="auto" w:fill="auto"/>
        <w:tblLayout w:type="fixed"/>
        <w:tblCellMar>
          <w:top w:w="0" w:type="dxa"/>
          <w:left w:w="0" w:type="dxa"/>
          <w:bottom w:w="0" w:type="dxa"/>
          <w:right w:w="0" w:type="dxa"/>
        </w:tblCellMar>
      </w:tblPr>
      <w:tblGrid>
        <w:gridCol w:w="1425"/>
        <w:gridCol w:w="336"/>
        <w:gridCol w:w="90"/>
        <w:gridCol w:w="2461"/>
        <w:gridCol w:w="1363"/>
        <w:gridCol w:w="1450"/>
        <w:gridCol w:w="1462"/>
        <w:gridCol w:w="1588"/>
        <w:gridCol w:w="1550"/>
        <w:gridCol w:w="90"/>
        <w:gridCol w:w="690"/>
        <w:gridCol w:w="720"/>
        <w:gridCol w:w="62"/>
        <w:gridCol w:w="1663"/>
      </w:tblGrid>
      <w:tr>
        <w:tblPrEx>
          <w:shd w:val="clear" w:color="auto" w:fill="auto"/>
          <w:tblCellMar>
            <w:top w:w="0" w:type="dxa"/>
            <w:left w:w="0" w:type="dxa"/>
            <w:bottom w:w="0" w:type="dxa"/>
            <w:right w:w="0" w:type="dxa"/>
          </w:tblCellMar>
        </w:tblPrEx>
        <w:trPr>
          <w:trHeight w:val="390" w:hRule="atLeast"/>
        </w:trPr>
        <w:tc>
          <w:tcPr>
            <w:tcW w:w="14950" w:type="dxa"/>
            <w:gridSpan w:val="14"/>
            <w:tcBorders>
              <w:top w:val="nil"/>
              <w:left w:val="nil"/>
              <w:bottom w:val="nil"/>
              <w:right w:val="nil"/>
            </w:tcBorders>
            <w:shd w:val="clear" w:color="auto" w:fill="auto"/>
            <w:noWrap/>
            <w:tcMar>
              <w:top w:w="15" w:type="dxa"/>
              <w:left w:w="15" w:type="dxa"/>
              <w:right w:w="15" w:type="dxa"/>
            </w:tcMar>
            <w:vAlign w:val="center"/>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4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736"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725"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4312"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136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8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5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62"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31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46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8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55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62" w:type="dxa"/>
            <w:gridSpan w:val="4"/>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142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887" w:type="dxa"/>
            <w:gridSpan w:val="3"/>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2"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2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7" w:type="dxa"/>
            <w:gridSpan w:val="3"/>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2"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2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7" w:type="dxa"/>
            <w:gridSpan w:val="3"/>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2" w:type="dxa"/>
            <w:gridSpan w:val="4"/>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1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8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62" w:type="dxa"/>
            <w:gridSpan w:val="4"/>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31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3,108.02</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3,108.02</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2,824.15</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2,824.15</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2,822.15</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2,822.15</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256.91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256.91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2011307</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国内贸易管理</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2,539.36</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2,539.36</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20123</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民族事务</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2012304</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民族工作专项</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8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6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5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bidi w:val="0"/>
        <w:jc w:val="left"/>
        <w:rPr>
          <w:rFonts w:hint="default"/>
          <w:lang w:val="en-US" w:eastAsia="zh-CN"/>
        </w:rPr>
      </w:pPr>
    </w:p>
    <w:p>
      <w:pPr>
        <w:rPr>
          <w:rFonts w:hint="eastAsia" w:ascii="黑体" w:hAnsi="宋体" w:eastAsia="黑体" w:cs="黑体"/>
          <w:i w:val="0"/>
          <w:color w:val="000000"/>
          <w:kern w:val="0"/>
          <w:sz w:val="32"/>
          <w:szCs w:val="32"/>
          <w:u w:val="none"/>
          <w:lang w:val="en-US" w:eastAsia="zh-CN" w:bidi="ar"/>
        </w:rPr>
        <w:sectPr>
          <w:pgSz w:w="16838" w:h="11906" w:orient="landscape"/>
          <w:pgMar w:top="1474" w:right="1814" w:bottom="1417" w:left="1281" w:header="851" w:footer="992" w:gutter="0"/>
          <w:pgNumType w:fmt="numberInDash"/>
          <w:cols w:space="0" w:num="1"/>
          <w:rtlGutter w:val="0"/>
          <w:docGrid w:type="lines" w:linePitch="321" w:charSpace="0"/>
        </w:sectPr>
      </w:pPr>
      <w:r>
        <w:rPr>
          <w:rFonts w:hint="default"/>
          <w:lang w:val="en-US" w:eastAsia="zh-CN"/>
        </w:rPr>
        <w:br w:type="page"/>
      </w:r>
    </w:p>
    <w:tbl>
      <w:tblPr>
        <w:tblStyle w:val="6"/>
        <w:tblW w:w="14066" w:type="dxa"/>
        <w:tblInd w:w="0" w:type="dxa"/>
        <w:shd w:val="clear" w:color="auto" w:fill="auto"/>
        <w:tblLayout w:type="fixed"/>
        <w:tblCellMar>
          <w:top w:w="0" w:type="dxa"/>
          <w:left w:w="0" w:type="dxa"/>
          <w:bottom w:w="0" w:type="dxa"/>
          <w:right w:w="0" w:type="dxa"/>
        </w:tblCellMar>
      </w:tblPr>
      <w:tblGrid>
        <w:gridCol w:w="2230"/>
        <w:gridCol w:w="109"/>
        <w:gridCol w:w="221"/>
        <w:gridCol w:w="90"/>
        <w:gridCol w:w="3177"/>
        <w:gridCol w:w="1304"/>
        <w:gridCol w:w="121"/>
        <w:gridCol w:w="1199"/>
        <w:gridCol w:w="126"/>
        <w:gridCol w:w="1089"/>
        <w:gridCol w:w="323"/>
        <w:gridCol w:w="967"/>
        <w:gridCol w:w="855"/>
        <w:gridCol w:w="228"/>
        <w:gridCol w:w="597"/>
        <w:gridCol w:w="1119"/>
        <w:gridCol w:w="311"/>
      </w:tblGrid>
      <w:tr>
        <w:tblPrEx>
          <w:shd w:val="clear" w:color="auto" w:fill="auto"/>
          <w:tblCellMar>
            <w:top w:w="0" w:type="dxa"/>
            <w:left w:w="0" w:type="dxa"/>
            <w:bottom w:w="0" w:type="dxa"/>
            <w:right w:w="0" w:type="dxa"/>
          </w:tblCellMar>
        </w:tblPrEx>
        <w:trPr>
          <w:gridAfter w:val="1"/>
          <w:wAfter w:w="311" w:type="dxa"/>
          <w:trHeight w:val="390" w:hRule="atLeast"/>
        </w:trPr>
        <w:tc>
          <w:tcPr>
            <w:tcW w:w="13755" w:type="dxa"/>
            <w:gridSpan w:val="16"/>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81"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22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33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481"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1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9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3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gridAfter w:val="1"/>
          <w:wAfter w:w="311" w:type="dxa"/>
          <w:trHeight w:val="308" w:hRule="atLeast"/>
        </w:trPr>
        <w:tc>
          <w:tcPr>
            <w:tcW w:w="5827" w:type="dxa"/>
            <w:gridSpan w:val="5"/>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25"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25"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12"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83"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716"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gridAfter w:val="1"/>
          <w:wAfter w:w="311" w:type="dxa"/>
          <w:trHeight w:val="308" w:hRule="atLeast"/>
        </w:trPr>
        <w:tc>
          <w:tcPr>
            <w:tcW w:w="2339" w:type="dxa"/>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88" w:type="dxa"/>
            <w:gridSpan w:val="3"/>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2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2"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11" w:type="dxa"/>
          <w:trHeight w:val="308" w:hRule="atLeast"/>
        </w:trPr>
        <w:tc>
          <w:tcPr>
            <w:tcW w:w="2339"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88" w:type="dxa"/>
            <w:gridSpan w:val="3"/>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2"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11" w:type="dxa"/>
          <w:trHeight w:val="308" w:hRule="atLeast"/>
        </w:trPr>
        <w:tc>
          <w:tcPr>
            <w:tcW w:w="2339" w:type="dxa"/>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88" w:type="dxa"/>
            <w:gridSpan w:val="3"/>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2"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3"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1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
          <w:wAfter w:w="311" w:type="dxa"/>
          <w:trHeight w:val="308" w:hRule="atLeast"/>
        </w:trPr>
        <w:tc>
          <w:tcPr>
            <w:tcW w:w="5827"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2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5"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2"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3"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1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gridAfter w:val="1"/>
          <w:wAfter w:w="311" w:type="dxa"/>
          <w:trHeight w:val="308" w:hRule="atLeast"/>
        </w:trPr>
        <w:tc>
          <w:tcPr>
            <w:tcW w:w="5827" w:type="dxa"/>
            <w:gridSpan w:val="5"/>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3,108.86</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275.02</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2,833.84</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2,824.99</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259.45</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2,565.53</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2,822.99</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258.45</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2,564.53</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257.75</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257.75</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2011307</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国内贸易管理</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2,539.36</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2,539.36</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20123</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民族事务</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2012304</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民族工作专项</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233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4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3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4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71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11" w:type="dxa"/>
          <w:trHeight w:val="308" w:hRule="atLeast"/>
        </w:trPr>
        <w:tc>
          <w:tcPr>
            <w:tcW w:w="13755"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sectPr>
          <w:pgSz w:w="16838" w:h="11906" w:orient="landscape"/>
          <w:pgMar w:top="1474" w:right="1814" w:bottom="1417" w:left="1281" w:header="851" w:footer="992" w:gutter="0"/>
          <w:pgNumType w:fmt="numberInDash"/>
          <w:cols w:space="0" w:num="1"/>
          <w:rtlGutter w:val="0"/>
          <w:docGrid w:type="lines" w:linePitch="321" w:charSpace="0"/>
        </w:sectPr>
      </w:pPr>
    </w:p>
    <w:tbl>
      <w:tblPr>
        <w:tblStyle w:val="6"/>
        <w:tblpPr w:leftFromText="180" w:rightFromText="180" w:vertAnchor="text" w:horzAnchor="page" w:tblpX="901" w:tblpY="235"/>
        <w:tblOverlap w:val="never"/>
        <w:tblW w:w="10174" w:type="dxa"/>
        <w:tblInd w:w="0" w:type="dxa"/>
        <w:shd w:val="clear" w:color="auto" w:fill="auto"/>
        <w:tblLayout w:type="fixed"/>
        <w:tblCellMar>
          <w:top w:w="0" w:type="dxa"/>
          <w:left w:w="0" w:type="dxa"/>
          <w:bottom w:w="0" w:type="dxa"/>
          <w:right w:w="0" w:type="dxa"/>
        </w:tblCellMar>
      </w:tblPr>
      <w:tblGrid>
        <w:gridCol w:w="3099"/>
        <w:gridCol w:w="538"/>
        <w:gridCol w:w="761"/>
        <w:gridCol w:w="2946"/>
        <w:gridCol w:w="507"/>
        <w:gridCol w:w="759"/>
        <w:gridCol w:w="764"/>
        <w:gridCol w:w="800"/>
      </w:tblGrid>
      <w:tr>
        <w:tblPrEx>
          <w:shd w:val="clear" w:color="auto" w:fill="auto"/>
          <w:tblCellMar>
            <w:top w:w="0" w:type="dxa"/>
            <w:left w:w="0" w:type="dxa"/>
            <w:bottom w:w="0" w:type="dxa"/>
            <w:right w:w="0" w:type="dxa"/>
          </w:tblCellMar>
        </w:tblPrEx>
        <w:trPr>
          <w:trHeight w:val="406" w:hRule="atLeast"/>
        </w:trPr>
        <w:tc>
          <w:tcPr>
            <w:tcW w:w="10174"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90" w:hRule="atLeast"/>
        </w:trPr>
        <w:tc>
          <w:tcPr>
            <w:tcW w:w="3099"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2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90" w:hRule="atLeast"/>
        </w:trPr>
        <w:tc>
          <w:tcPr>
            <w:tcW w:w="3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3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6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2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trPr>
        <w:tc>
          <w:tcPr>
            <w:tcW w:w="439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776"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12" w:hRule="atLeast"/>
        </w:trPr>
        <w:tc>
          <w:tcPr>
            <w:tcW w:w="309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CellMar>
            <w:top w:w="0" w:type="dxa"/>
            <w:left w:w="0" w:type="dxa"/>
            <w:bottom w:w="0" w:type="dxa"/>
            <w:right w:w="0" w:type="dxa"/>
          </w:tblCellMar>
        </w:tblPrEx>
        <w:trPr>
          <w:trHeight w:val="312" w:hRule="atLeast"/>
        </w:trPr>
        <w:tc>
          <w:tcPr>
            <w:tcW w:w="309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3108.02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2824.99</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2824.99</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6.41</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6.41</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4.56</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4.56</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255.31</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255.31</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4.60</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4.60</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3108.02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3108.86</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3108.86</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16.10</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16.10</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309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7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3124.12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3124.12</w:t>
            </w:r>
          </w:p>
        </w:tc>
        <w:tc>
          <w:tcPr>
            <w:tcW w:w="7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3124.12</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0" w:hRule="atLeast"/>
        </w:trPr>
        <w:tc>
          <w:tcPr>
            <w:tcW w:w="1017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rPr>
          <w:rFonts w:hint="default"/>
          <w:lang w:val="en-US" w:eastAsia="zh-CN"/>
        </w:rPr>
        <w:sectPr>
          <w:pgSz w:w="11906" w:h="16838"/>
          <w:pgMar w:top="1814" w:right="1417" w:bottom="1281" w:left="1474" w:header="851" w:footer="992" w:gutter="0"/>
          <w:pgNumType w:fmt="numberInDash"/>
          <w:cols w:space="0" w:num="1"/>
          <w:rtlGutter w:val="0"/>
          <w:docGrid w:type="lines" w:linePitch="321" w:charSpace="0"/>
        </w:sectPr>
      </w:pPr>
    </w:p>
    <w:tbl>
      <w:tblPr>
        <w:tblStyle w:val="6"/>
        <w:tblpPr w:leftFromText="180" w:rightFromText="180" w:vertAnchor="text" w:horzAnchor="page" w:tblpX="1763" w:tblpY="1467"/>
        <w:tblOverlap w:val="never"/>
        <w:tblW w:w="9045" w:type="dxa"/>
        <w:tblInd w:w="0" w:type="dxa"/>
        <w:shd w:val="clear" w:color="auto" w:fill="auto"/>
        <w:tblLayout w:type="fixed"/>
        <w:tblCellMar>
          <w:top w:w="0" w:type="dxa"/>
          <w:left w:w="0" w:type="dxa"/>
          <w:bottom w:w="0" w:type="dxa"/>
          <w:right w:w="0" w:type="dxa"/>
        </w:tblCellMar>
      </w:tblPr>
      <w:tblGrid>
        <w:gridCol w:w="2225"/>
        <w:gridCol w:w="3387"/>
        <w:gridCol w:w="1089"/>
        <w:gridCol w:w="1037"/>
        <w:gridCol w:w="1307"/>
      </w:tblGrid>
      <w:tr>
        <w:tblPrEx>
          <w:shd w:val="clear" w:color="auto" w:fill="auto"/>
          <w:tblCellMar>
            <w:top w:w="0" w:type="dxa"/>
            <w:left w:w="0" w:type="dxa"/>
            <w:bottom w:w="0" w:type="dxa"/>
            <w:right w:w="0" w:type="dxa"/>
          </w:tblCellMar>
        </w:tblPrEx>
        <w:trPr>
          <w:trHeight w:val="90" w:hRule="atLeast"/>
        </w:trPr>
        <w:tc>
          <w:tcPr>
            <w:tcW w:w="9045" w:type="dxa"/>
            <w:gridSpan w:val="5"/>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22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38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307"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22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338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8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44"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612"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433"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22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8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8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3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0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22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8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22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8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612"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8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5612"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3,108.86</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275.02</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2,833.84</w:t>
            </w:r>
          </w:p>
        </w:tc>
      </w:tr>
      <w:tr>
        <w:tblPrEx>
          <w:tblCellMar>
            <w:top w:w="0" w:type="dxa"/>
            <w:left w:w="0" w:type="dxa"/>
            <w:bottom w:w="0" w:type="dxa"/>
            <w:right w:w="0" w:type="dxa"/>
          </w:tblCellMar>
        </w:tblPrEx>
        <w:trPr>
          <w:trHeight w:val="324"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2,824.99</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259.45</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2,565.53</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2,822.99</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258.45</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2,564.53</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257.75</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257.75</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2011307</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国内贸易管理</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2011308</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招商引资</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2,539.36</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2,539.36</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2011350</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2011399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其他商贸事务支出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20123</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民族事务</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2012304</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民族工作专项</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255.31</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2160299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其他商业流通事务支出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245.91</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2160699</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其他涉外发展服务支出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22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38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0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13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904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rPr>
          <w:rFonts w:hint="eastAsia" w:ascii="Arial" w:hAnsi="Arial" w:cs="Arial"/>
          <w:i w:val="0"/>
          <w:color w:val="000000"/>
          <w:sz w:val="20"/>
          <w:szCs w:val="20"/>
          <w:u w:val="none"/>
        </w:rPr>
        <w:sectPr>
          <w:pgSz w:w="11906" w:h="16838"/>
          <w:pgMar w:top="1814" w:right="1417" w:bottom="1281" w:left="1474" w:header="851" w:footer="992" w:gutter="0"/>
          <w:pgNumType w:fmt="numberInDash"/>
          <w:cols w:space="0" w:num="1"/>
          <w:rtlGutter w:val="0"/>
          <w:docGrid w:type="lines" w:linePitch="321" w:charSpace="0"/>
        </w:sectPr>
      </w:pPr>
    </w:p>
    <w:tbl>
      <w:tblPr>
        <w:tblStyle w:val="6"/>
        <w:tblW w:w="10000" w:type="dxa"/>
        <w:jc w:val="center"/>
        <w:shd w:val="clear" w:color="auto" w:fill="auto"/>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shd w:val="clear" w:color="auto" w:fill="auto"/>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339" w:hRule="atLeast"/>
          <w:jc w:val="center"/>
        </w:trPr>
        <w:tc>
          <w:tcPr>
            <w:tcW w:w="2828"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261.91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11.70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28.53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4.20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18.87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1.88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196.67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2.34</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0.38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0.18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4.02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263.32</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11.70</w:t>
            </w:r>
          </w:p>
        </w:tc>
      </w:tr>
    </w:tbl>
    <w:p>
      <w:pPr>
        <w:rPr>
          <w:rFonts w:hint="default"/>
          <w:lang w:val="en-US" w:eastAsia="zh-CN"/>
        </w:rPr>
      </w:pPr>
      <w:r>
        <w:rPr>
          <w:rFonts w:hint="default"/>
          <w:lang w:val="en-US" w:eastAsia="zh-CN"/>
        </w:rPr>
        <w:br w:type="page"/>
      </w:r>
    </w:p>
    <w:tbl>
      <w:tblPr>
        <w:tblStyle w:val="6"/>
        <w:tblW w:w="9220" w:type="dxa"/>
        <w:jc w:val="center"/>
        <w:shd w:val="clear" w:color="auto" w:fill="auto"/>
        <w:tblLayout w:type="autofit"/>
        <w:tblCellMar>
          <w:top w:w="0" w:type="dxa"/>
          <w:left w:w="0" w:type="dxa"/>
          <w:bottom w:w="0" w:type="dxa"/>
          <w:right w:w="0" w:type="dxa"/>
        </w:tblCellMar>
      </w:tblPr>
      <w:tblGrid>
        <w:gridCol w:w="1267"/>
        <w:gridCol w:w="1686"/>
        <w:gridCol w:w="1565"/>
        <w:gridCol w:w="1565"/>
        <w:gridCol w:w="1565"/>
        <w:gridCol w:w="1572"/>
      </w:tblGrid>
      <w:tr>
        <w:tblPrEx>
          <w:shd w:val="clear" w:color="auto" w:fill="auto"/>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7.64</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7.6</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6"/>
        <w:tblW w:w="9510" w:type="dxa"/>
        <w:jc w:val="center"/>
        <w:shd w:val="clear" w:color="auto" w:fill="auto"/>
        <w:tblLayout w:type="autofit"/>
        <w:tblCellMar>
          <w:top w:w="0" w:type="dxa"/>
          <w:left w:w="0" w:type="dxa"/>
          <w:bottom w:w="0" w:type="dxa"/>
          <w:right w:w="0" w:type="dxa"/>
        </w:tblCellMar>
      </w:tblPr>
      <w:tblGrid>
        <w:gridCol w:w="2230"/>
        <w:gridCol w:w="36"/>
        <w:gridCol w:w="36"/>
        <w:gridCol w:w="910"/>
        <w:gridCol w:w="1050"/>
        <w:gridCol w:w="1050"/>
        <w:gridCol w:w="1050"/>
        <w:gridCol w:w="1050"/>
        <w:gridCol w:w="1050"/>
        <w:gridCol w:w="1050"/>
      </w:tblGrid>
      <w:tr>
        <w:tblPrEx>
          <w:shd w:val="clear" w:color="auto" w:fill="auto"/>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br w:type="page"/>
      </w:r>
    </w:p>
    <w:tbl>
      <w:tblPr>
        <w:tblStyle w:val="6"/>
        <w:tblW w:w="9915" w:type="dxa"/>
        <w:jc w:val="center"/>
        <w:shd w:val="clear" w:color="auto" w:fill="auto"/>
        <w:tblLayout w:type="autofit"/>
        <w:tblCellMar>
          <w:top w:w="0" w:type="dxa"/>
          <w:left w:w="0" w:type="dxa"/>
          <w:bottom w:w="0" w:type="dxa"/>
          <w:right w:w="0" w:type="dxa"/>
        </w:tblCellMar>
      </w:tblPr>
      <w:tblGrid>
        <w:gridCol w:w="3428"/>
        <w:gridCol w:w="55"/>
        <w:gridCol w:w="55"/>
        <w:gridCol w:w="2856"/>
        <w:gridCol w:w="722"/>
        <w:gridCol w:w="1399"/>
        <w:gridCol w:w="1400"/>
      </w:tblGrid>
      <w:tr>
        <w:tblPrEx>
          <w:shd w:val="clear" w:color="auto" w:fill="auto"/>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部门：保定高新区招商局</w:t>
            </w:r>
            <w:bookmarkStart w:id="0" w:name="_GoBack"/>
            <w:bookmarkEnd w:id="0"/>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br w:type="page"/>
      </w:r>
    </w:p>
    <w:p>
      <w:pPr>
        <w:bidi w:val="0"/>
        <w:jc w:val="both"/>
        <w:rPr>
          <w:rFonts w:hint="default"/>
          <w:lang w:val="en-US" w:eastAsia="zh-CN"/>
        </w:rPr>
      </w:pPr>
      <w:r>
        <w:rPr>
          <w:sz w:val="21"/>
        </w:rPr>
        <mc:AlternateContent>
          <mc:Choice Requires="wps">
            <w:drawing>
              <wp:anchor distT="0" distB="0" distL="114300" distR="114300" simplePos="0" relativeHeight="9941483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9941483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pgSz w:w="11906" w:h="16838"/>
      <w:pgMar w:top="1814" w:right="1417" w:bottom="1281" w:left="1474"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20B0800000000000000"/>
    <w:charset w:val="86"/>
    <w:family w:val="swiss"/>
    <w:pitch w:val="default"/>
    <w:sig w:usb0="00000000" w:usb1="00000000" w:usb2="00000016" w:usb3="00000000" w:csb0="002E0107"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微软雅黑">
    <w:panose1 w:val="020B0503020204020204"/>
    <w:charset w:val="86"/>
    <w:family w:val="auto"/>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lHE/2QAAAAkBAAAPAAAAAAAAAAEAIAAAACIAAABkcnMvZG93bnJl&#10;di54bWxQSwECFAAUAAAACACHTuJAOPvX+TUCAABhBAAADgAAAAAAAAABACAAAAAoAQAAZHJzL2Uy&#10;b0RvYy54bWxQSwUGAAAAAAYABgBZAQAAzw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1c372QAAAAoBAAAPAAAAAAAAAAEAIAAAACIAAABkcnMvZG93&#10;bnJldi54bWxQSwECFAAUAAAACACHTuJA9IZ3pDgCAABhBAAADgAAAAAAAAABACAAAAAoAQAAZHJz&#10;L2Uyb0RvYy54bWxQSwUGAAAAAAYABgBZAQAA0g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PFG5/42AgAAYA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4paM2gAAAAoBAAAPAAAAAAAAAAEAIAAAACIAAABkcnMv&#10;ZG93bnJldi54bWxQSwECFAAUAAAACACHTuJAIpLgBToCAABjBAAADgAAAAAAAAABACAAAAApAQAA&#10;ZHJzL2Uyb0RvYy54bWxQSwUGAAAAAAYABgBZAQAA1QU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CSEgzY2AgAAYg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70636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E02FC26"/>
    <w:multiLevelType w:val="singleLevel"/>
    <w:tmpl w:val="4E02FC2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10138A8"/>
    <w:rsid w:val="0285240A"/>
    <w:rsid w:val="04317EEC"/>
    <w:rsid w:val="05AD2396"/>
    <w:rsid w:val="075965A7"/>
    <w:rsid w:val="090D5293"/>
    <w:rsid w:val="0D31448E"/>
    <w:rsid w:val="132F0778"/>
    <w:rsid w:val="144608CC"/>
    <w:rsid w:val="14731D64"/>
    <w:rsid w:val="176A11BF"/>
    <w:rsid w:val="1B42600E"/>
    <w:rsid w:val="1D701D16"/>
    <w:rsid w:val="1FC841B1"/>
    <w:rsid w:val="207776CC"/>
    <w:rsid w:val="21286B99"/>
    <w:rsid w:val="21427245"/>
    <w:rsid w:val="21AA7F8C"/>
    <w:rsid w:val="22840D2F"/>
    <w:rsid w:val="229104A2"/>
    <w:rsid w:val="273A0690"/>
    <w:rsid w:val="28AF4877"/>
    <w:rsid w:val="29036057"/>
    <w:rsid w:val="31122C04"/>
    <w:rsid w:val="31C2036A"/>
    <w:rsid w:val="320D02A5"/>
    <w:rsid w:val="322124A5"/>
    <w:rsid w:val="32F35EFD"/>
    <w:rsid w:val="348E566F"/>
    <w:rsid w:val="38057D2F"/>
    <w:rsid w:val="3A226944"/>
    <w:rsid w:val="3AEE6A48"/>
    <w:rsid w:val="3B0011C0"/>
    <w:rsid w:val="3C1620AA"/>
    <w:rsid w:val="3CEE4082"/>
    <w:rsid w:val="3D8F080F"/>
    <w:rsid w:val="3EE8160C"/>
    <w:rsid w:val="403020C0"/>
    <w:rsid w:val="40D17EDF"/>
    <w:rsid w:val="448009F3"/>
    <w:rsid w:val="44CE1FA4"/>
    <w:rsid w:val="46AE30D3"/>
    <w:rsid w:val="478339F4"/>
    <w:rsid w:val="47C8087E"/>
    <w:rsid w:val="486B4E72"/>
    <w:rsid w:val="487F73ED"/>
    <w:rsid w:val="48F212D7"/>
    <w:rsid w:val="490A76FF"/>
    <w:rsid w:val="4A347EAE"/>
    <w:rsid w:val="4A5448BE"/>
    <w:rsid w:val="4AF001B1"/>
    <w:rsid w:val="4DA92CA5"/>
    <w:rsid w:val="4E102F83"/>
    <w:rsid w:val="4EAD7F28"/>
    <w:rsid w:val="4F0460F3"/>
    <w:rsid w:val="52600405"/>
    <w:rsid w:val="529B4319"/>
    <w:rsid w:val="544E426C"/>
    <w:rsid w:val="55411755"/>
    <w:rsid w:val="57773DD6"/>
    <w:rsid w:val="578B79AB"/>
    <w:rsid w:val="5885722C"/>
    <w:rsid w:val="5AB1746D"/>
    <w:rsid w:val="5ADB36EB"/>
    <w:rsid w:val="5B882B41"/>
    <w:rsid w:val="5C3349EE"/>
    <w:rsid w:val="5CCD3FD5"/>
    <w:rsid w:val="5D571804"/>
    <w:rsid w:val="608159E7"/>
    <w:rsid w:val="61FA5F9D"/>
    <w:rsid w:val="635D428B"/>
    <w:rsid w:val="64CD6910"/>
    <w:rsid w:val="6789158D"/>
    <w:rsid w:val="67D81BA4"/>
    <w:rsid w:val="69632A7F"/>
    <w:rsid w:val="6AAF1C96"/>
    <w:rsid w:val="6DA14A18"/>
    <w:rsid w:val="6DFB3428"/>
    <w:rsid w:val="7059098F"/>
    <w:rsid w:val="70933C25"/>
    <w:rsid w:val="73405321"/>
    <w:rsid w:val="75681757"/>
    <w:rsid w:val="75A346A8"/>
    <w:rsid w:val="77EB720D"/>
    <w:rsid w:val="78656CEF"/>
    <w:rsid w:val="78900311"/>
    <w:rsid w:val="79B9382C"/>
    <w:rsid w:val="7B043B76"/>
    <w:rsid w:val="7C041A6A"/>
    <w:rsid w:val="7C116DE5"/>
    <w:rsid w:val="7CC930BE"/>
    <w:rsid w:val="7D2A6E13"/>
    <w:rsid w:val="7E327570"/>
    <w:rsid w:val="7F56208B"/>
    <w:rsid w:val="7F63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eastAsia="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table" w:styleId="7">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字符"/>
    <w:basedOn w:val="8"/>
    <w:link w:val="5"/>
    <w:qFormat/>
    <w:uiPriority w:val="99"/>
    <w:rPr>
      <w:rFonts w:asciiTheme="minorAscii" w:hAnsiTheme="minorAscii" w:eastAsiaTheme="minorEastAsia"/>
      <w:sz w:val="18"/>
      <w:szCs w:val="18"/>
    </w:rPr>
  </w:style>
  <w:style w:type="character" w:customStyle="1" w:styleId="10">
    <w:name w:val="页脚 字符"/>
    <w:basedOn w:val="8"/>
    <w:link w:val="4"/>
    <w:qFormat/>
    <w:uiPriority w:val="99"/>
    <w:rPr>
      <w:sz w:val="18"/>
      <w:szCs w:val="18"/>
    </w:rPr>
  </w:style>
  <w:style w:type="paragraph" w:customStyle="1" w:styleId="11">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chart" Target="charts/chart3.xml"/><Relationship Id="rId27" Type="http://schemas.openxmlformats.org/officeDocument/2006/relationships/chart" Target="charts/chart2.xml"/><Relationship Id="rId26" Type="http://schemas.openxmlformats.org/officeDocument/2006/relationships/chart" Target="charts/chart1.xml"/><Relationship Id="rId25" Type="http://schemas.openxmlformats.org/officeDocument/2006/relationships/image" Target="media/image1.bmp"/><Relationship Id="rId24" Type="http://schemas.openxmlformats.org/officeDocument/2006/relationships/theme" Target="theme/theme1.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比重</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0.0885</c:v>
                </c:pt>
                <c:pt idx="1">
                  <c:v>0.9115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alpha val="56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对比情况</a:t>
            </a:r>
          </a:p>
        </c:rich>
      </c:tx>
      <c:layout>
        <c:manualLayout>
          <c:xMode val="edge"/>
          <c:yMode val="edge"/>
          <c:x val="0.41825"/>
          <c:y val="0.039520958083832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1973.49</c:v>
                </c:pt>
                <c:pt idx="1">
                  <c:v>1962.26</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3108.02</c:v>
                </c:pt>
                <c:pt idx="1">
                  <c:v>3108.86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514249020"/>
        <c:axId val="272911939"/>
      </c:barChart>
      <c:catAx>
        <c:axId val="5142490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911939"/>
        <c:crosses val="autoZero"/>
        <c:auto val="1"/>
        <c:lblAlgn val="ctr"/>
        <c:lblOffset val="100"/>
        <c:noMultiLvlLbl val="0"/>
      </c:catAx>
      <c:valAx>
        <c:axId val="2729119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4249020"/>
        <c:crosses val="autoZero"/>
        <c:crossBetween val="between"/>
      </c:valAx>
      <c:spPr>
        <a:noFill/>
        <a:ln>
          <a:noFill/>
        </a:ln>
        <a:effectLst/>
      </c:spPr>
    </c:plotArea>
    <c:legend>
      <c:legendPos val="b"/>
      <c:layout>
        <c:manualLayout>
          <c:xMode val="edge"/>
          <c:yMode val="edge"/>
          <c:x val="0.3659375"/>
          <c:y val="0.8868263473053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473855765313"/>
          <c:y val="0.011531531531531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比重</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424563844859111"/>
                  <c:y val="-0.1413928512189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4867933887373"/>
                  <c:y val="0.0058824777652488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19872227627701"/>
                  <c:y val="-0.0514854998303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49857564875895"/>
                  <c:y val="0.18739992872693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88641083765004"/>
                  <c:y val="-0.055001622416982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c:v>
                </c:pt>
                <c:pt idx="1">
                  <c:v>文化旅游体育与传媒支出</c:v>
                </c:pt>
                <c:pt idx="2">
                  <c:v>社会保障和就业支出</c:v>
                </c:pt>
                <c:pt idx="3">
                  <c:v>卫生健康支出</c:v>
                </c:pt>
                <c:pt idx="4">
                  <c:v>商业服务业支出</c:v>
                </c:pt>
                <c:pt idx="5">
                  <c:v>住房保障支出</c:v>
                </c:pt>
              </c:strCache>
            </c:strRef>
          </c:cat>
          <c:val>
            <c:numRef>
              <c:f>Sheet1!$B$2:$B$7</c:f>
              <c:numCache>
                <c:formatCode>0.00%</c:formatCode>
                <c:ptCount val="6"/>
                <c:pt idx="0">
                  <c:v>0.9087</c:v>
                </c:pt>
                <c:pt idx="1">
                  <c:v>0.0042</c:v>
                </c:pt>
                <c:pt idx="2">
                  <c:v>0.002</c:v>
                </c:pt>
                <c:pt idx="3">
                  <c:v>0.0015</c:v>
                </c:pt>
                <c:pt idx="4">
                  <c:v>0.0821</c:v>
                </c:pt>
                <c:pt idx="5">
                  <c:v>0.0015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5</TotalTime>
  <ScaleCrop>false</ScaleCrop>
  <LinksUpToDate>false</LinksUpToDate>
  <CharactersWithSpaces>9394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cecilia </cp:lastModifiedBy>
  <cp:lastPrinted>2020-07-30T02:37:00Z</cp:lastPrinted>
  <dcterms:modified xsi:type="dcterms:W3CDTF">2020-11-06T01:47:12Z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